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0142" w:rsidRDefault="00E20ADA">
      <w:pPr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國立臺灣海洋大學兼任</w:t>
      </w:r>
      <w:r>
        <w:rPr>
          <w:rFonts w:ascii="標楷體" w:eastAsia="標楷體" w:hAnsi="標楷體" w:cs="標楷體"/>
          <w:sz w:val="48"/>
          <w:szCs w:val="48"/>
          <w:u w:val="single"/>
        </w:rPr>
        <w:t>教學</w:t>
      </w:r>
      <w:r>
        <w:rPr>
          <w:rFonts w:ascii="標楷體" w:eastAsia="標楷體" w:hAnsi="標楷體" w:cs="標楷體"/>
          <w:sz w:val="48"/>
          <w:szCs w:val="48"/>
        </w:rPr>
        <w:t>助理勞動契約</w:t>
      </w:r>
    </w:p>
    <w:p w14:paraId="00000002" w14:textId="77777777" w:rsidR="00A60142" w:rsidRDefault="00E20ADA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研究生助學金用</w:t>
      </w:r>
      <w:r>
        <w:rPr>
          <w:rFonts w:ascii="標楷體" w:eastAsia="標楷體" w:hAnsi="標楷體" w:cs="標楷體"/>
        </w:rPr>
        <w:t>)</w:t>
      </w:r>
    </w:p>
    <w:p w14:paraId="00000003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甲方︰國立臺灣海洋大學</w:t>
      </w:r>
    </w:p>
    <w:p w14:paraId="00000004" w14:textId="56B24228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color w:val="0070C0"/>
        </w:rPr>
        <w:t>乙方︰</w:t>
      </w:r>
      <w:r>
        <w:rPr>
          <w:rFonts w:ascii="標楷體" w:eastAsia="標楷體" w:hAnsi="標楷體" w:cs="標楷體"/>
          <w:color w:val="0070C0"/>
          <w:u w:val="single"/>
        </w:rPr>
        <w:t xml:space="preserve">  </w:t>
      </w:r>
      <w:r>
        <w:rPr>
          <w:rFonts w:ascii="標楷體" w:eastAsia="標楷體" w:hAnsi="標楷體" w:cs="標楷體" w:hint="eastAsia"/>
          <w:color w:val="0070C0"/>
          <w:u w:val="single"/>
        </w:rPr>
        <w:t>地球科學研究所</w:t>
      </w:r>
      <w:r>
        <w:rPr>
          <w:rFonts w:ascii="標楷體" w:eastAsia="標楷體" w:hAnsi="標楷體" w:cs="標楷體"/>
          <w:color w:val="0070C0"/>
          <w:u w:val="single"/>
        </w:rPr>
        <w:t xml:space="preserve">  </w:t>
      </w:r>
      <w:r>
        <w:rPr>
          <w:rFonts w:ascii="標楷體" w:eastAsia="標楷體" w:hAnsi="標楷體" w:cs="標楷體"/>
          <w:color w:val="0070C0"/>
        </w:rPr>
        <w:t>學生</w: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70C0"/>
        </w:rPr>
        <w:t xml:space="preserve"> (</w:t>
      </w:r>
      <w:r>
        <w:rPr>
          <w:rFonts w:ascii="標楷體" w:eastAsia="標楷體" w:hAnsi="標楷體" w:cs="標楷體"/>
          <w:color w:val="0070C0"/>
        </w:rPr>
        <w:t>學號</w:t>
      </w:r>
      <w:r>
        <w:rPr>
          <w:rFonts w:ascii="標楷體" w:eastAsia="標楷體" w:hAnsi="標楷體" w:cs="標楷體"/>
          <w:color w:val="0070C0"/>
          <w:u w:val="single"/>
        </w:rPr>
        <w:t xml:space="preserve">                 </w:t>
      </w:r>
      <w:r>
        <w:rPr>
          <w:rFonts w:ascii="標楷體" w:eastAsia="標楷體" w:hAnsi="標楷體" w:cs="標楷體"/>
          <w:color w:val="0070C0"/>
        </w:rPr>
        <w:t xml:space="preserve"> )</w:t>
      </w:r>
    </w:p>
    <w:p w14:paraId="00000005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甲方或其代理人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以下簡稱甲方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與乙方簽訂勞動契約時，應將工作職稱、工作地點、工作內容、工資及工作時間等予以明確約定。甲方僅得依本契約所約定工作內容，對乙方為合理之指揮監督，不得要求其從事勞動契約所定工作內容以外之工作。</w:t>
      </w:r>
    </w:p>
    <w:p w14:paraId="00000006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一、契約起始日及計畫期間：</w:t>
      </w:r>
    </w:p>
    <w:p w14:paraId="00000007" w14:textId="77777777" w:rsidR="00A60142" w:rsidRDefault="00E20ADA">
      <w:pPr>
        <w:spacing w:after="120" w:line="288" w:lineRule="auto"/>
        <w:ind w:left="840" w:hanging="36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</w:rPr>
        <w:t>從事非繼續性之工作，</w:t>
      </w:r>
      <w:r>
        <w:rPr>
          <w:rFonts w:ascii="標楷體" w:eastAsia="標楷體" w:hAnsi="標楷體" w:cs="標楷體"/>
          <w:color w:val="0070C0"/>
        </w:rPr>
        <w:t>聘僱期間自</w:t>
      </w:r>
      <w:r>
        <w:rPr>
          <w:rFonts w:ascii="標楷體" w:eastAsia="標楷體" w:hAnsi="標楷體" w:cs="標楷體"/>
          <w:color w:val="0070C0"/>
          <w:u w:val="single"/>
        </w:rPr>
        <w:t xml:space="preserve"> 111 </w:t>
      </w:r>
      <w:r>
        <w:rPr>
          <w:rFonts w:ascii="標楷體" w:eastAsia="標楷體" w:hAnsi="標楷體" w:cs="標楷體"/>
          <w:color w:val="0070C0"/>
        </w:rPr>
        <w:t>年</w:t>
      </w:r>
      <w:r>
        <w:rPr>
          <w:rFonts w:ascii="標楷體" w:eastAsia="標楷體" w:hAnsi="標楷體" w:cs="標楷體"/>
          <w:color w:val="0070C0"/>
          <w:u w:val="single"/>
        </w:rPr>
        <w:t xml:space="preserve"> 9 </w:t>
      </w:r>
      <w:r>
        <w:rPr>
          <w:rFonts w:ascii="標楷體" w:eastAsia="標楷體" w:hAnsi="標楷體" w:cs="標楷體"/>
          <w:color w:val="0070C0"/>
        </w:rPr>
        <w:t>月</w:t>
      </w:r>
      <w:r>
        <w:rPr>
          <w:rFonts w:ascii="標楷體" w:eastAsia="標楷體" w:hAnsi="標楷體" w:cs="標楷體"/>
          <w:color w:val="0070C0"/>
          <w:u w:val="single"/>
        </w:rPr>
        <w:t xml:space="preserve"> 1 </w:t>
      </w:r>
      <w:r>
        <w:rPr>
          <w:rFonts w:ascii="標楷體" w:eastAsia="標楷體" w:hAnsi="標楷體" w:cs="標楷體"/>
          <w:color w:val="0070C0"/>
        </w:rPr>
        <w:t>日起，至</w:t>
      </w:r>
      <w:r>
        <w:rPr>
          <w:rFonts w:ascii="標楷體" w:eastAsia="標楷體" w:hAnsi="標楷體" w:cs="標楷體"/>
          <w:color w:val="0070C0"/>
          <w:u w:val="single"/>
        </w:rPr>
        <w:t xml:space="preserve"> 112 </w:t>
      </w:r>
      <w:r>
        <w:rPr>
          <w:rFonts w:ascii="標楷體" w:eastAsia="標楷體" w:hAnsi="標楷體" w:cs="標楷體"/>
          <w:color w:val="0070C0"/>
        </w:rPr>
        <w:t>年</w:t>
      </w:r>
      <w:r>
        <w:rPr>
          <w:rFonts w:ascii="標楷體" w:eastAsia="標楷體" w:hAnsi="標楷體" w:cs="標楷體"/>
          <w:color w:val="0070C0"/>
          <w:u w:val="single"/>
        </w:rPr>
        <w:t xml:space="preserve"> 1 </w:t>
      </w:r>
      <w:r>
        <w:rPr>
          <w:rFonts w:ascii="標楷體" w:eastAsia="標楷體" w:hAnsi="標楷體" w:cs="標楷體"/>
          <w:color w:val="0070C0"/>
        </w:rPr>
        <w:t>月</w:t>
      </w:r>
      <w:r>
        <w:rPr>
          <w:rFonts w:ascii="標楷體" w:eastAsia="標楷體" w:hAnsi="標楷體" w:cs="標楷體"/>
          <w:color w:val="0070C0"/>
          <w:u w:val="single"/>
        </w:rPr>
        <w:t xml:space="preserve"> 31 </w:t>
      </w:r>
      <w:r>
        <w:rPr>
          <w:rFonts w:ascii="標楷體" w:eastAsia="標楷體" w:hAnsi="標楷體" w:cs="標楷體"/>
          <w:color w:val="0070C0"/>
        </w:rPr>
        <w:t>日止。</w:t>
      </w:r>
    </w:p>
    <w:p w14:paraId="00000008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二、工作職稱及工作內容：</w:t>
      </w:r>
    </w:p>
    <w:p w14:paraId="00000009" w14:textId="77777777" w:rsidR="00A60142" w:rsidRDefault="00E20ADA">
      <w:pPr>
        <w:spacing w:after="120" w:line="288" w:lineRule="auto"/>
        <w:ind w:left="840" w:hanging="36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</w:rPr>
        <w:t>兼任教學助理，內容為：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  <w:color w:val="0070C0"/>
        </w:rPr>
        <w:t>□</w: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</w:rPr>
        <w:t>協助課程與研究教學</w:t>
      </w:r>
    </w:p>
    <w:p w14:paraId="0000000A" w14:textId="77777777" w:rsidR="00A60142" w:rsidRDefault="00E20ADA">
      <w:pPr>
        <w:spacing w:after="120" w:line="288" w:lineRule="auto"/>
        <w:ind w:left="3401"/>
        <w:jc w:val="both"/>
        <w:rPr>
          <w:rFonts w:ascii="標楷體" w:eastAsia="標楷體" w:hAnsi="標楷體" w:cs="標楷體"/>
          <w:color w:val="0070C0"/>
        </w:rPr>
      </w:pPr>
      <w:bookmarkStart w:id="0" w:name="_GoBack"/>
      <w:bookmarkEnd w:id="0"/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color w:val="0070C0"/>
        </w:rPr>
        <w:t xml:space="preserve">□ </w:t>
      </w:r>
      <w:r>
        <w:rPr>
          <w:rFonts w:ascii="標楷體" w:eastAsia="標楷體" w:hAnsi="標楷體" w:cs="標楷體"/>
          <w:color w:val="0070C0"/>
        </w:rPr>
        <w:t>協助課程教學相關事務</w:t>
      </w:r>
    </w:p>
    <w:p w14:paraId="0000000B" w14:textId="77777777" w:rsidR="00A60142" w:rsidRDefault="00E20ADA">
      <w:pPr>
        <w:spacing w:after="120" w:line="288" w:lineRule="auto"/>
        <w:ind w:left="3401" w:hanging="3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color w:val="0070C0"/>
        </w:rPr>
        <w:t xml:space="preserve">□ </w:t>
      </w:r>
      <w:r>
        <w:rPr>
          <w:rFonts w:ascii="標楷體" w:eastAsia="標楷體" w:hAnsi="標楷體" w:cs="標楷體"/>
          <w:color w:val="0070C0"/>
        </w:rPr>
        <w:t>其他：</w:t>
      </w:r>
      <w:r>
        <w:rPr>
          <w:rFonts w:ascii="標楷體" w:eastAsia="標楷體" w:hAnsi="標楷體" w:cs="標楷體"/>
          <w:color w:val="0070C0"/>
          <w:u w:val="single"/>
        </w:rPr>
        <w:t xml:space="preserve">                         </w:t>
      </w:r>
      <w:r>
        <w:rPr>
          <w:rFonts w:ascii="標楷體" w:eastAsia="標楷體" w:hAnsi="標楷體" w:cs="標楷體"/>
          <w:color w:val="0070C0"/>
        </w:rPr>
        <w:t>(</w:t>
      </w:r>
      <w:r>
        <w:rPr>
          <w:rFonts w:ascii="標楷體" w:eastAsia="標楷體" w:hAnsi="標楷體" w:cs="標楷體"/>
          <w:color w:val="0070C0"/>
        </w:rPr>
        <w:t>須與教學相關</w:t>
      </w:r>
      <w:r>
        <w:rPr>
          <w:rFonts w:ascii="標楷體" w:eastAsia="標楷體" w:hAnsi="標楷體" w:cs="標楷體"/>
          <w:color w:val="0070C0"/>
        </w:rPr>
        <w:t>)</w:t>
      </w:r>
    </w:p>
    <w:p w14:paraId="0000000C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三、工作地點：</w:t>
      </w:r>
      <w:r>
        <w:rPr>
          <w:rFonts w:ascii="標楷體" w:eastAsia="標楷體" w:hAnsi="標楷體" w:cs="標楷體"/>
          <w:color w:val="0070C0"/>
          <w:u w:val="single"/>
        </w:rPr>
        <w:t xml:space="preserve">                                       </w:t>
      </w:r>
      <w:r>
        <w:rPr>
          <w:rFonts w:ascii="標楷體" w:eastAsia="標楷體" w:hAnsi="標楷體" w:cs="標楷體"/>
          <w:color w:val="0070C0"/>
        </w:rPr>
        <w:t xml:space="preserve"> (</w:t>
      </w:r>
      <w:r>
        <w:rPr>
          <w:rFonts w:ascii="標楷體" w:eastAsia="標楷體" w:hAnsi="標楷體" w:cs="標楷體"/>
          <w:color w:val="0070C0"/>
        </w:rPr>
        <w:t>非僅限於學校內</w:t>
      </w:r>
      <w:r>
        <w:rPr>
          <w:rFonts w:ascii="標楷體" w:eastAsia="標楷體" w:hAnsi="標楷體" w:cs="標楷體"/>
          <w:color w:val="0070C0"/>
        </w:rPr>
        <w:t>)</w:t>
      </w:r>
    </w:p>
    <w:p w14:paraId="0000000D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四、工資：</w:t>
      </w:r>
    </w:p>
    <w:p w14:paraId="0000000E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工資數額及計給方式：乙方之工資如下勾選項目，下列工資不得內含全勤獎金、其他福利或補助：</w:t>
      </w:r>
    </w:p>
    <w:p w14:paraId="0000000F" w14:textId="77777777" w:rsidR="00A60142" w:rsidRDefault="00E20ADA">
      <w:pPr>
        <w:spacing w:after="120" w:line="288" w:lineRule="auto"/>
        <w:ind w:left="9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■ </w:t>
      </w:r>
      <w:r>
        <w:rPr>
          <w:rFonts w:ascii="標楷體" w:eastAsia="標楷體" w:hAnsi="標楷體" w:cs="標楷體"/>
        </w:rPr>
        <w:t>按時計薪：依勞動部公布之最低基本時薪為準。</w:t>
      </w:r>
    </w:p>
    <w:p w14:paraId="00000010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工資發放：雙方同意每月工資發放日為</w:t>
      </w:r>
      <w:r>
        <w:rPr>
          <w:rFonts w:ascii="標楷體" w:eastAsia="標楷體" w:hAnsi="標楷體" w:cs="標楷體"/>
          <w:color w:val="FF0000"/>
        </w:rPr>
        <w:t>□</w:t>
      </w:r>
      <w:r>
        <w:rPr>
          <w:rFonts w:ascii="標楷體" w:eastAsia="標楷體" w:hAnsi="標楷體" w:cs="標楷體"/>
          <w:color w:val="FF0000"/>
        </w:rPr>
        <w:t>當月或</w:t>
      </w:r>
      <w:r>
        <w:rPr>
          <w:rFonts w:ascii="標楷體" w:eastAsia="標楷體" w:hAnsi="標楷體" w:cs="標楷體"/>
          <w:color w:val="FF0000"/>
        </w:rPr>
        <w:t xml:space="preserve"> </w:t>
      </w:r>
      <w:r>
        <w:rPr>
          <w:rFonts w:ascii="標楷體" w:eastAsia="標楷體" w:hAnsi="標楷體" w:cs="標楷體"/>
        </w:rPr>
        <w:t>■</w:t>
      </w:r>
      <w:r>
        <w:rPr>
          <w:rFonts w:ascii="標楷體" w:eastAsia="標楷體" w:hAnsi="標楷體" w:cs="標楷體"/>
          <w:color w:val="FF0000"/>
        </w:rPr>
        <w:t>次月</w:t>
      </w:r>
      <w:r>
        <w:rPr>
          <w:rFonts w:ascii="標楷體" w:eastAsia="標楷體" w:hAnsi="標楷體" w:cs="標楷體"/>
          <w:color w:val="FF0000"/>
          <w:u w:val="single"/>
        </w:rPr>
        <w:t xml:space="preserve">  20  </w:t>
      </w:r>
      <w:r>
        <w:rPr>
          <w:rFonts w:ascii="標楷體" w:eastAsia="標楷體" w:hAnsi="標楷體" w:cs="標楷體"/>
          <w:color w:val="FF0000"/>
        </w:rPr>
        <w:t>個工作日</w:t>
      </w:r>
      <w:r>
        <w:rPr>
          <w:rFonts w:ascii="標楷體" w:eastAsia="標楷體" w:hAnsi="標楷體" w:cs="標楷體"/>
        </w:rPr>
        <w:t>，如發放日遇例假日、休假日、休息日時，則提前至前一個工作日發放。發放方式依甲方規定方式辦理。甲方如因重大困難致無法依約發放工資時，應事先徵得乙方書面同意後，始得變更工資給付日期。</w:t>
      </w:r>
    </w:p>
    <w:p w14:paraId="00000011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甲方不得預扣乙方工資作為違約金或損害賠償金額。</w:t>
      </w:r>
    </w:p>
    <w:p w14:paraId="00000012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五、工作時間及休息時間：</w:t>
      </w:r>
    </w:p>
    <w:p w14:paraId="00000013" w14:textId="63740E5B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乙方正常工作時間：</w:t>
      </w:r>
      <w:r>
        <w:rPr>
          <w:rFonts w:ascii="標楷體" w:eastAsia="標楷體" w:hAnsi="標楷體" w:cs="標楷體"/>
          <w:color w:val="0070C0"/>
        </w:rPr>
        <w:t xml:space="preserve">□ </w:t>
      </w:r>
      <w:r>
        <w:rPr>
          <w:rFonts w:ascii="標楷體" w:eastAsia="標楷體" w:hAnsi="標楷體" w:cs="標楷體"/>
          <w:color w:val="0070C0"/>
        </w:rPr>
        <w:t>每日：</w:t>
      </w:r>
      <w:r>
        <w:rPr>
          <w:rFonts w:ascii="標楷體" w:eastAsia="標楷體" w:hAnsi="標楷體" w:cs="標楷體"/>
          <w:color w:val="0070C0"/>
          <w:u w:val="single"/>
        </w:rPr>
        <w:t xml:space="preserve">       </w: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</w:rPr>
        <w:t>小時；</w:t>
      </w:r>
      <w:r>
        <w:rPr>
          <mc:AlternateContent>
            <mc:Choice Requires="w16se">
              <w:rFonts w:ascii="標楷體" w:eastAsia="標楷體" w:hAnsi="標楷體" w:cs="標楷體"/>
            </mc:Choice>
            <mc:Fallback>
              <w:rFonts w:ascii="Segoe UI Emoji" w:eastAsia="Segoe UI Emoji" w:hAnsi="Segoe UI Emoji" w:cs="Segoe UI Emoji"/>
            </mc:Fallback>
          </mc:AlternateContent>
          <w:color w:val="0070C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</w:rPr>
        <w:t>每週：</w:t>
      </w:r>
      <w:r>
        <w:rPr>
          <w:rFonts w:ascii="標楷體" w:eastAsia="標楷體" w:hAnsi="標楷體" w:cs="標楷體"/>
          <w:color w:val="0070C0"/>
          <w:u w:val="single"/>
        </w:rPr>
        <w:t xml:space="preserve"> </w:t>
      </w:r>
      <w:r>
        <w:rPr>
          <w:rFonts w:ascii="標楷體" w:eastAsia="標楷體" w:hAnsi="標楷體" w:cs="標楷體" w:hint="eastAsia"/>
          <w:color w:val="0070C0"/>
          <w:u w:val="single"/>
        </w:rPr>
        <w:t>0-20</w:t>
      </w:r>
      <w:r>
        <w:rPr>
          <w:rFonts w:ascii="標楷體" w:eastAsia="標楷體" w:hAnsi="標楷體" w:cs="標楷體"/>
          <w:color w:val="0070C0"/>
          <w:u w:val="single"/>
        </w:rPr>
        <w:t xml:space="preserve">    </w: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</w:rPr>
        <w:t>小時</w:t>
      </w:r>
      <w:r>
        <w:rPr>
          <w:rFonts w:ascii="標楷體" w:eastAsia="標楷體" w:hAnsi="標楷體" w:cs="標楷體"/>
        </w:rPr>
        <w:t>。</w:t>
      </w:r>
    </w:p>
    <w:p w14:paraId="00000014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乙方正常工作時間每日不得超過</w:t>
      </w:r>
      <w:r>
        <w:rPr>
          <w:rFonts w:ascii="標楷體" w:eastAsia="標楷體" w:hAnsi="標楷體" w:cs="標楷體"/>
        </w:rPr>
        <w:t xml:space="preserve"> 8 </w:t>
      </w:r>
      <w:r>
        <w:rPr>
          <w:rFonts w:ascii="標楷體" w:eastAsia="標楷體" w:hAnsi="標楷體" w:cs="標楷體"/>
        </w:rPr>
        <w:t>小時。</w:t>
      </w:r>
    </w:p>
    <w:p w14:paraId="00000015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乙方繼續工作</w:t>
      </w:r>
      <w:r>
        <w:rPr>
          <w:rFonts w:ascii="標楷體" w:eastAsia="標楷體" w:hAnsi="標楷體" w:cs="標楷體"/>
        </w:rPr>
        <w:t xml:space="preserve"> 4 </w:t>
      </w:r>
      <w:r>
        <w:rPr>
          <w:rFonts w:ascii="標楷體" w:eastAsia="標楷體" w:hAnsi="標楷體" w:cs="標楷體"/>
        </w:rPr>
        <w:t>小時，至少應有</w:t>
      </w:r>
      <w:r>
        <w:rPr>
          <w:rFonts w:ascii="標楷體" w:eastAsia="標楷體" w:hAnsi="標楷體" w:cs="標楷體"/>
        </w:rPr>
        <w:t xml:space="preserve"> 30 </w:t>
      </w:r>
      <w:r>
        <w:rPr>
          <w:rFonts w:ascii="標楷體" w:eastAsia="標楷體" w:hAnsi="標楷體" w:cs="標楷體"/>
        </w:rPr>
        <w:t>分鐘之休息。</w:t>
      </w:r>
    </w:p>
    <w:p w14:paraId="00000016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乙方應按甲方規定之時間上、下班，並配合甲方規定記錄出勤狀況之方式辦理，不得遲到、早退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或曠職。乙方於出勤日上、下班及休息時間之紀錄，甲方應記載至分鐘為止。</w:t>
      </w:r>
    </w:p>
    <w:p w14:paraId="00000017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六、加班：</w:t>
      </w:r>
    </w:p>
    <w:p w14:paraId="00000018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甲方經徵得乙方同意後延長之工作時間，超過約定之工時而未達勞動基準法所定正</w:t>
      </w:r>
      <w:r>
        <w:rPr>
          <w:rFonts w:ascii="標楷體" w:eastAsia="標楷體" w:hAnsi="標楷體" w:cs="標楷體"/>
        </w:rPr>
        <w:lastRenderedPageBreak/>
        <w:t>常工作時間之工資，由</w:t>
      </w: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</w:rPr>
        <w:t>原甲乙雙方議定工資計給；超過勞動基準法所定正常工作時間者，應依該法第</w:t>
      </w:r>
      <w:r>
        <w:rPr>
          <w:rFonts w:ascii="標楷體" w:eastAsia="標楷體" w:hAnsi="標楷體" w:cs="標楷體"/>
        </w:rPr>
        <w:t xml:space="preserve"> 24 </w:t>
      </w:r>
      <w:r>
        <w:rPr>
          <w:rFonts w:ascii="標楷體" w:eastAsia="標楷體" w:hAnsi="標楷體" w:cs="標楷體"/>
        </w:rPr>
        <w:t>條規定計給延時工資。延長乙方之工作時間連同正常工作時</w:t>
      </w:r>
      <w:r>
        <w:rPr>
          <w:rFonts w:ascii="標楷體" w:eastAsia="標楷體" w:hAnsi="標楷體" w:cs="標楷體"/>
        </w:rPr>
        <w:t>間，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日不得超過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小時。延長之工作時間，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個月不得超過</w:t>
      </w:r>
      <w:r>
        <w:rPr>
          <w:rFonts w:ascii="標楷體" w:eastAsia="標楷體" w:hAnsi="標楷體" w:cs="標楷體"/>
        </w:rPr>
        <w:t xml:space="preserve"> 46 </w:t>
      </w:r>
      <w:r>
        <w:rPr>
          <w:rFonts w:ascii="標楷體" w:eastAsia="標楷體" w:hAnsi="標楷體" w:cs="標楷體"/>
        </w:rPr>
        <w:t>小時。</w:t>
      </w:r>
    </w:p>
    <w:p w14:paraId="00000019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乙方加班時，應依甲方之加班程序辦理。</w:t>
      </w:r>
    </w:p>
    <w:p w14:paraId="0000001A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乙方因健康或其他正當理由，得不接受正常工作時間以外之工作。</w:t>
      </w:r>
    </w:p>
    <w:p w14:paraId="0000001B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七、例假、休假及請假：</w:t>
      </w:r>
    </w:p>
    <w:p w14:paraId="0000001C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(</w:t>
      </w:r>
      <w:r>
        <w:rPr>
          <w:rFonts w:ascii="標楷體" w:eastAsia="標楷體" w:hAnsi="標楷體" w:cs="標楷體"/>
          <w:color w:val="FF0000"/>
        </w:rPr>
        <w:t>一</w:t>
      </w:r>
      <w:r>
        <w:rPr>
          <w:rFonts w:ascii="標楷體" w:eastAsia="標楷體" w:hAnsi="標楷體" w:cs="標楷體"/>
          <w:color w:val="FF0000"/>
        </w:rPr>
        <w:t>)</w:t>
      </w:r>
      <w:r>
        <w:rPr>
          <w:rFonts w:ascii="標楷體" w:eastAsia="標楷體" w:hAnsi="標楷體" w:cs="標楷體"/>
          <w:color w:val="FF0000"/>
        </w:rPr>
        <w:t>乙方每</w:t>
      </w:r>
      <w:r>
        <w:rPr>
          <w:rFonts w:ascii="標楷體" w:eastAsia="標楷體" w:hAnsi="標楷體" w:cs="標楷體"/>
          <w:color w:val="FF0000"/>
        </w:rPr>
        <w:t>7</w:t>
      </w:r>
      <w:r>
        <w:rPr>
          <w:rFonts w:ascii="標楷體" w:eastAsia="標楷體" w:hAnsi="標楷體" w:cs="標楷體"/>
          <w:color w:val="FF0000"/>
        </w:rPr>
        <w:t>日中應有</w:t>
      </w:r>
      <w:r>
        <w:rPr>
          <w:rFonts w:ascii="標楷體" w:eastAsia="標楷體" w:hAnsi="標楷體" w:cs="標楷體"/>
          <w:color w:val="FF0000"/>
        </w:rPr>
        <w:t>2</w:t>
      </w:r>
      <w:r>
        <w:rPr>
          <w:rFonts w:ascii="標楷體" w:eastAsia="標楷體" w:hAnsi="標楷體" w:cs="標楷體"/>
          <w:color w:val="FF0000"/>
        </w:rPr>
        <w:t>日之休息，其中</w:t>
      </w:r>
      <w:r>
        <w:rPr>
          <w:rFonts w:ascii="標楷體" w:eastAsia="標楷體" w:hAnsi="標楷體" w:cs="標楷體"/>
          <w:color w:val="FF0000"/>
        </w:rPr>
        <w:t>1</w:t>
      </w:r>
      <w:r>
        <w:rPr>
          <w:rFonts w:ascii="標楷體" w:eastAsia="標楷體" w:hAnsi="標楷體" w:cs="標楷體"/>
          <w:color w:val="FF0000"/>
        </w:rPr>
        <w:t>日為例假，</w:t>
      </w:r>
      <w:r>
        <w:rPr>
          <w:rFonts w:ascii="標楷體" w:eastAsia="標楷體" w:hAnsi="標楷體" w:cs="標楷體"/>
          <w:color w:val="FF0000"/>
        </w:rPr>
        <w:t>1</w:t>
      </w:r>
      <w:r>
        <w:rPr>
          <w:rFonts w:ascii="標楷體" w:eastAsia="標楷體" w:hAnsi="標楷體" w:cs="標楷體"/>
          <w:color w:val="FF0000"/>
        </w:rPr>
        <w:t>日為休息日。</w:t>
      </w:r>
    </w:p>
    <w:p w14:paraId="0000001D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甲方有使乙方於勞動基準法第</w:t>
      </w:r>
      <w:r>
        <w:rPr>
          <w:rFonts w:ascii="標楷體" w:eastAsia="標楷體" w:hAnsi="標楷體" w:cs="標楷體"/>
        </w:rPr>
        <w:t xml:space="preserve"> 37 </w:t>
      </w:r>
      <w:r>
        <w:rPr>
          <w:rFonts w:ascii="標楷體" w:eastAsia="標楷體" w:hAnsi="標楷體" w:cs="標楷體"/>
        </w:rPr>
        <w:t>條規定之內政部所定應放假之紀念日、節日、勞動節及其他中央主管機關指定應放假之日出勤之必要時，應於事前徵得乙方同意，並依同法第</w:t>
      </w:r>
      <w:r>
        <w:rPr>
          <w:rFonts w:ascii="標楷體" w:eastAsia="標楷體" w:hAnsi="標楷體" w:cs="標楷體"/>
        </w:rPr>
        <w:t xml:space="preserve"> 39 </w:t>
      </w:r>
      <w:r>
        <w:rPr>
          <w:rFonts w:ascii="標楷體" w:eastAsia="標楷體" w:hAnsi="標楷體" w:cs="標楷體"/>
        </w:rPr>
        <w:t>條規定給付加倍工資。</w:t>
      </w:r>
    </w:p>
    <w:p w14:paraId="0000001E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特別休假如下：</w:t>
      </w:r>
    </w:p>
    <w:p w14:paraId="0000001F" w14:textId="77777777" w:rsidR="00A60142" w:rsidRDefault="00E20ADA">
      <w:pPr>
        <w:spacing w:after="120" w:line="288" w:lineRule="auto"/>
        <w:ind w:left="1320" w:hanging="3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</w:rPr>
        <w:t>部分工時勞工年度可休</w:t>
      </w:r>
      <w:r>
        <w:rPr>
          <w:rFonts w:ascii="標楷體" w:eastAsia="標楷體" w:hAnsi="標楷體" w:cs="標楷體"/>
        </w:rPr>
        <w:t>特別休假時數，工作年資滿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個月以上未滿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年者，按乙方</w:t>
      </w:r>
      <w:r>
        <w:rPr>
          <w:rFonts w:ascii="標楷體" w:eastAsia="標楷體" w:hAnsi="標楷體" w:cs="標楷體"/>
        </w:rPr>
        <w:t xml:space="preserve"> 6 </w:t>
      </w:r>
      <w:r>
        <w:rPr>
          <w:rFonts w:ascii="標楷體" w:eastAsia="標楷體" w:hAnsi="標楷體" w:cs="標楷體"/>
        </w:rPr>
        <w:t>個月正常工作時間占全時勞工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個月正常工作時間之比例；工作年資滿</w:t>
      </w:r>
      <w:r>
        <w:rPr>
          <w:rFonts w:ascii="標楷體" w:eastAsia="標楷體" w:hAnsi="標楷體" w:cs="標楷體"/>
        </w:rPr>
        <w:t>6</w:t>
      </w:r>
      <w:r>
        <w:rPr>
          <w:rFonts w:ascii="標楷體" w:eastAsia="標楷體" w:hAnsi="標楷體" w:cs="標楷體"/>
        </w:rPr>
        <w:t>年以上者，按乙方全年正常工作時間占全時勞工全年正常工作時間之比例，乘以勞動基準法第</w:t>
      </w:r>
      <w:r>
        <w:rPr>
          <w:rFonts w:ascii="標楷體" w:eastAsia="標楷體" w:hAnsi="標楷體" w:cs="標楷體"/>
        </w:rPr>
        <w:t xml:space="preserve"> 38</w:t>
      </w:r>
      <w:r>
        <w:rPr>
          <w:rFonts w:ascii="標楷體" w:eastAsia="標楷體" w:hAnsi="標楷體" w:cs="標楷體"/>
        </w:rPr>
        <w:t>條所定特別休假日數計給。不足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日部分由甲乙雙方協商議定。但部分工時勞工每週工作日數與甲方全時勞工相同，僅每日工作時數較短者，仍應依勞動基準法第</w:t>
      </w:r>
      <w:r>
        <w:rPr>
          <w:rFonts w:ascii="標楷體" w:eastAsia="標楷體" w:hAnsi="標楷體" w:cs="標楷體"/>
        </w:rPr>
        <w:t xml:space="preserve"> 38</w:t>
      </w:r>
      <w:r>
        <w:rPr>
          <w:rFonts w:ascii="標楷體" w:eastAsia="標楷體" w:hAnsi="標楷體" w:cs="標楷體"/>
        </w:rPr>
        <w:t>條規定給予休假日數。</w:t>
      </w:r>
    </w:p>
    <w:p w14:paraId="00000020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婚、喪、事、病假如下：</w:t>
      </w:r>
    </w:p>
    <w:p w14:paraId="00000021" w14:textId="77777777" w:rsidR="00A60142" w:rsidRDefault="00E20ADA">
      <w:pPr>
        <w:spacing w:after="120" w:line="288" w:lineRule="auto"/>
        <w:ind w:left="1320" w:hanging="36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■ </w:t>
      </w:r>
      <w:r>
        <w:rPr>
          <w:rFonts w:ascii="標楷體" w:eastAsia="標楷體" w:hAnsi="標楷體" w:cs="標楷體"/>
        </w:rPr>
        <w:t>部分工時者之婚、喪、事、病假時數，按乙方每週工作時數除以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/>
        </w:rPr>
        <w:t>小時乘以應給予請假日數乘以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小時。</w:t>
      </w:r>
    </w:p>
    <w:p w14:paraId="00000022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生理假、安胎休養、產假、陪產假、產檢假、育嬰留職停薪、哺乳時間、家庭照顧假如下：</w:t>
      </w:r>
    </w:p>
    <w:p w14:paraId="00000023" w14:textId="77777777" w:rsidR="00A60142" w:rsidRDefault="00E20ADA">
      <w:pPr>
        <w:spacing w:after="120" w:line="288" w:lineRule="auto"/>
        <w:ind w:left="1560" w:hanging="60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■ 1.</w:t>
      </w:r>
      <w:r>
        <w:rPr>
          <w:rFonts w:ascii="標楷體" w:eastAsia="標楷體" w:hAnsi="標楷體" w:cs="標楷體"/>
        </w:rPr>
        <w:t>部分工時者產假、安胎休養及育嬰留職停薪時數，請休產假者，其產假期間應依性別工作平等法第</w:t>
      </w:r>
      <w:r>
        <w:rPr>
          <w:rFonts w:ascii="標楷體" w:eastAsia="標楷體" w:hAnsi="標楷體" w:cs="標楷體"/>
        </w:rPr>
        <w:t>15</w:t>
      </w:r>
      <w:r>
        <w:rPr>
          <w:rFonts w:ascii="標楷體" w:eastAsia="標楷體" w:hAnsi="標楷體" w:cs="標楷體"/>
        </w:rPr>
        <w:t>條第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</w:rPr>
        <w:t>項規定，依曆連續計算；懷孕期間經醫師診斷需安胎休養者，雇主應按所需期間，依曆給假。至於有親自照顧養育幼兒需求而申請育嬰留職停薪者，其期間依曆計算，不因部分時間工作而依比例計給。</w:t>
      </w:r>
    </w:p>
    <w:p w14:paraId="00000024" w14:textId="77777777" w:rsidR="00A60142" w:rsidRDefault="00E20ADA">
      <w:pPr>
        <w:spacing w:after="120" w:line="288" w:lineRule="auto"/>
        <w:ind w:left="156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部分工時者產檢假、陪產假及家庭照顧假時數，按乙方平均每週工作時數依比例計給（平均每週工作時數除以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/>
        </w:rPr>
        <w:t>小時，再乘以應給予請假日數並乘以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小時）</w:t>
      </w:r>
      <w:r>
        <w:rPr>
          <w:rFonts w:ascii="標楷體" w:eastAsia="標楷體" w:hAnsi="標楷體" w:cs="標楷體"/>
        </w:rPr>
        <w:t>。</w:t>
      </w:r>
    </w:p>
    <w:p w14:paraId="00000025" w14:textId="77777777" w:rsidR="00A60142" w:rsidRDefault="00E20ADA">
      <w:pPr>
        <w:spacing w:after="120" w:line="288" w:lineRule="auto"/>
        <w:ind w:left="156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部分工時者生理假時數，全年請假日數未逾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日者，不併入病假計算，薪資減半發給；逾</w:t>
      </w:r>
      <w:r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/>
        </w:rPr>
        <w:t>日部分，按規定應併入病假計算，其有薪病假之給假時數，按乙方平均每週工作時數除以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/>
        </w:rPr>
        <w:t>小時之比例計給，薪資減半發給。另乙方年度內所請應併入未住院普通傷病假之生理假，連同病假如已屆按比例計給時數上限，仍有請生理假需求者，甲方仍應給假，但得不給薪資。</w:t>
      </w:r>
    </w:p>
    <w:p w14:paraId="00000026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乙方請假時，應依甲方之規定辦理請假手續。</w:t>
      </w:r>
    </w:p>
    <w:p w14:paraId="00000027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八、工作規範：</w:t>
      </w:r>
    </w:p>
    <w:p w14:paraId="00000028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工作紀律：乙方應依甲方之指揮監督執行職務，忠誠履行職務，不得有怠惰、推諉之情事，並遵守甲方之工作規則。</w:t>
      </w:r>
    </w:p>
    <w:p w14:paraId="00000029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電腦軟體使用原則：乙方不得於甲方之電腦內安裝未經合法授權使用之軟體，於安裝合法授權之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軟體前，應經甲方事前之同意。</w:t>
      </w:r>
    </w:p>
    <w:p w14:paraId="0000002A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九、乙方權益保障：</w:t>
      </w:r>
    </w:p>
    <w:p w14:paraId="0000002B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保險：甲方於乙方到職日應依法為乙方投保勞工保險及就業保險。</w:t>
      </w:r>
    </w:p>
    <w:p w14:paraId="0000002C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退休：甲方應依勞動基準法、勞工退休金條例等相關法令規定，為</w:t>
      </w:r>
      <w:r>
        <w:rPr>
          <w:rFonts w:ascii="標楷體" w:eastAsia="標楷體" w:hAnsi="標楷體" w:cs="標楷體"/>
          <w:color w:val="FF0000"/>
        </w:rPr>
        <w:t>乙方</w:t>
      </w:r>
      <w:r>
        <w:rPr>
          <w:rFonts w:ascii="標楷體" w:eastAsia="標楷體" w:hAnsi="標楷體" w:cs="標楷體"/>
          <w:color w:val="FF0000"/>
        </w:rPr>
        <w:t>□</w:t>
      </w:r>
      <w:r>
        <w:rPr>
          <w:rFonts w:ascii="標楷體" w:eastAsia="標楷體" w:hAnsi="標楷體" w:cs="標楷體"/>
          <w:color w:val="FF0000"/>
        </w:rPr>
        <w:t>提繳勞工退休金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本籍學生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  <w:color w:val="FF0000"/>
        </w:rPr>
        <w:t xml:space="preserve">  □</w:t>
      </w:r>
      <w:r>
        <w:rPr>
          <w:rFonts w:ascii="標楷體" w:eastAsia="標楷體" w:hAnsi="標楷體" w:cs="標楷體"/>
          <w:color w:val="FF0000"/>
        </w:rPr>
        <w:t>提撥勞工離職準備金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非本籍學生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14:paraId="0000002D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職業災害：乙方發生職業災害時，甲方應負勞動基準法職業災害補償責任。但如同一事故，依勞工保險條例或其他法令規定，已由甲方支付費用補償者，甲方得主張抵充。</w:t>
      </w:r>
    </w:p>
    <w:p w14:paraId="0000002E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就</w:t>
      </w:r>
      <w:r>
        <w:rPr>
          <w:rFonts w:ascii="標楷體" w:eastAsia="標楷體" w:hAnsi="標楷體" w:cs="標楷體"/>
        </w:rPr>
        <w:t>業與性別歧視禁止、性騷擾防治：</w:t>
      </w:r>
    </w:p>
    <w:p w14:paraId="0000002F" w14:textId="77777777" w:rsidR="00A60142" w:rsidRDefault="00E20ADA">
      <w:pPr>
        <w:spacing w:after="120" w:line="288" w:lineRule="auto"/>
        <w:ind w:left="120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甲方應落實就業服務法就業歧視禁止規範、性別工作平等法之性別歧視禁止、性騷擾防治及性別工作平等措施規定。</w:t>
      </w:r>
    </w:p>
    <w:p w14:paraId="00000030" w14:textId="77777777" w:rsidR="00A60142" w:rsidRDefault="00E20ADA">
      <w:pPr>
        <w:spacing w:after="120" w:line="288" w:lineRule="auto"/>
        <w:ind w:left="1200" w:hanging="24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/>
        </w:rPr>
        <w:t>甲方應設置處理性騷擾申訴之專線電話、傳真、專用信箱或電子信箱，並將相關資訊於工作場所顯著之處公開揭示。乙方如遭受性騷擾時，甲方應於知悉後，採取立即有效之糾正及補救措施；並於受理申訴後進行調查，如調查屬實，甲方應對所屬人員進行懲處，並將結果通知乙方。</w:t>
      </w:r>
    </w:p>
    <w:p w14:paraId="00000031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職業安全衛生：甲方應加強乙方從事工作與預防災變所必要之安全衛生教育訓練，與依職業安全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衛生法及其相關法規辦理勞動</w:t>
      </w:r>
      <w:r>
        <w:rPr>
          <w:rFonts w:ascii="標楷體" w:eastAsia="標楷體" w:hAnsi="標楷體" w:cs="標楷體"/>
        </w:rPr>
        <w:t>場所之安全衛生事項，維護乙方之健康、安全及福祉。</w:t>
      </w:r>
    </w:p>
    <w:p w14:paraId="00000032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十、保密義務：</w:t>
      </w:r>
    </w:p>
    <w:p w14:paraId="00000033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 xml:space="preserve">) </w:t>
      </w:r>
      <w:r>
        <w:rPr>
          <w:rFonts w:ascii="標楷體" w:eastAsia="標楷體" w:hAnsi="標楷體" w:cs="標楷體"/>
        </w:rPr>
        <w:t>乙方因執行工作而知悉、接觸、取得甲方之任何業務相關資料，應採取必要之保密措施以善盡保密義務，除依法令規定或取得甲方書面同意外，不得擅自對外公佈、告知或移轉予任何第三人，或協助第三人獲悉該資料與機密之內容，或對外發表。乙方亦不得為自己或第三人之利益，而使用該業務相關資料。</w:t>
      </w:r>
    </w:p>
    <w:p w14:paraId="00000034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乙方自甲方去職、甲方提出請求時，應立即歸還所有屬於甲方之供應品、設備或業務文件資料，且不得留有任何形式之複本。</w:t>
      </w:r>
    </w:p>
    <w:p w14:paraId="00000035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乙方因本契約所負之保密義務，不因本契約終止</w:t>
      </w:r>
      <w:r>
        <w:rPr>
          <w:rFonts w:ascii="標楷體" w:eastAsia="標楷體" w:hAnsi="標楷體" w:cs="標楷體"/>
        </w:rPr>
        <w:t>、撤銷、無效或不成立而失其效力。如有違反者，乙方應負相關民、刑事法律責任。</w:t>
      </w:r>
    </w:p>
    <w:p w14:paraId="00000036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十一、契約之終止：</w:t>
      </w:r>
    </w:p>
    <w:p w14:paraId="00000037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甲、乙雙方欲終止勞動契約，應依勞動基準法及勞工退休金條例等相關規定辦理。</w:t>
      </w:r>
    </w:p>
    <w:p w14:paraId="00000038" w14:textId="77777777" w:rsidR="00A60142" w:rsidRDefault="00E20ADA">
      <w:pPr>
        <w:spacing w:after="120" w:line="288" w:lineRule="auto"/>
        <w:ind w:left="96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本契約終止時，乙方應依甲方之規定或指示於一定期間內，辦理交接事宜。</w:t>
      </w:r>
    </w:p>
    <w:p w14:paraId="00000039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十二、準據法：</w:t>
      </w:r>
    </w:p>
    <w:p w14:paraId="0000003A" w14:textId="77777777" w:rsidR="00A60142" w:rsidRDefault="00E20ADA">
      <w:pPr>
        <w:spacing w:after="120" w:line="288" w:lineRule="auto"/>
        <w:ind w:left="1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本契約以中華民國法律為準據法，本契約未訂事項，悉依其他有關法令規定辦理。</w:t>
      </w:r>
    </w:p>
    <w:p w14:paraId="0000003B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十三、契約修改：</w:t>
      </w:r>
    </w:p>
    <w:p w14:paraId="0000003C" w14:textId="77777777" w:rsidR="00A60142" w:rsidRDefault="00E20ADA">
      <w:pPr>
        <w:spacing w:after="120" w:line="288" w:lineRule="auto"/>
        <w:ind w:left="1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本契約得依雙方之合意或法令之變更，以書面修訂之。</w:t>
      </w:r>
    </w:p>
    <w:p w14:paraId="0000003D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十四、契約份數：</w:t>
      </w:r>
    </w:p>
    <w:p w14:paraId="0000003E" w14:textId="77777777" w:rsidR="00A60142" w:rsidRDefault="00E20ADA">
      <w:pPr>
        <w:spacing w:after="120" w:line="288" w:lineRule="auto"/>
        <w:ind w:left="1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本契約書正本一式貳份，甲乙雙方各執一份。</w:t>
      </w:r>
    </w:p>
    <w:p w14:paraId="0000003F" w14:textId="77777777" w:rsidR="00A60142" w:rsidRDefault="00A60142">
      <w:pPr>
        <w:spacing w:after="120" w:line="288" w:lineRule="auto"/>
        <w:jc w:val="both"/>
        <w:rPr>
          <w:rFonts w:ascii="標楷體" w:eastAsia="標楷體" w:hAnsi="標楷體" w:cs="標楷體"/>
        </w:rPr>
      </w:pPr>
    </w:p>
    <w:p w14:paraId="00000040" w14:textId="77777777" w:rsidR="00A60142" w:rsidRDefault="00A60142">
      <w:pPr>
        <w:spacing w:after="120" w:line="288" w:lineRule="auto"/>
        <w:jc w:val="both"/>
        <w:rPr>
          <w:rFonts w:ascii="標楷體" w:eastAsia="標楷體" w:hAnsi="標楷體" w:cs="標楷體"/>
        </w:rPr>
      </w:pPr>
    </w:p>
    <w:p w14:paraId="00000041" w14:textId="77777777" w:rsidR="00A60142" w:rsidRDefault="00E20ADA">
      <w:pPr>
        <w:spacing w:after="120" w:line="288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立契約人</w:t>
      </w:r>
      <w:r>
        <w:rPr>
          <w:rFonts w:ascii="標楷體" w:eastAsia="標楷體" w:hAnsi="標楷體" w:cs="標楷體"/>
        </w:rPr>
        <w:t xml:space="preserve">: </w:t>
      </w:r>
    </w:p>
    <w:p w14:paraId="00000042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</w:t>
      </w: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方：國立臺灣海洋大學</w:t>
      </w:r>
      <w:r>
        <w:rPr>
          <w:rFonts w:ascii="標楷體" w:eastAsia="標楷體" w:hAnsi="標楷體" w:cs="標楷體"/>
        </w:rPr>
        <w:tab/>
        <w:t xml:space="preserve">                                  </w:t>
      </w:r>
      <w:r>
        <w:rPr>
          <w:rFonts w:ascii="標楷體" w:eastAsia="標楷體" w:hAnsi="標楷體" w:cs="標楷體"/>
        </w:rPr>
        <w:t>（蓋章）</w:t>
      </w:r>
    </w:p>
    <w:p w14:paraId="00000043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代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表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人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許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泰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文</w:t>
      </w:r>
      <w:r>
        <w:rPr>
          <w:rFonts w:ascii="標楷體" w:eastAsia="標楷體" w:hAnsi="標楷體" w:cs="標楷體"/>
        </w:rPr>
        <w:tab/>
        <w:t xml:space="preserve">               </w:t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</w:r>
      <w:r>
        <w:rPr>
          <w:rFonts w:ascii="標楷體" w:eastAsia="標楷體" w:hAnsi="標楷體" w:cs="標楷體"/>
        </w:rPr>
        <w:tab/>
        <w:t xml:space="preserve">    </w:t>
      </w:r>
      <w:r>
        <w:rPr>
          <w:rFonts w:ascii="標楷體" w:eastAsia="標楷體" w:hAnsi="標楷體" w:cs="標楷體"/>
        </w:rPr>
        <w:t>（簽名蓋章）</w:t>
      </w:r>
    </w:p>
    <w:p w14:paraId="00000044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</w:t>
      </w:r>
      <w:r>
        <w:rPr>
          <w:rFonts w:ascii="標楷體" w:eastAsia="標楷體" w:hAnsi="標楷體" w:cs="標楷體"/>
        </w:rPr>
        <w:t xml:space="preserve">       </w:t>
      </w:r>
      <w:r>
        <w:rPr>
          <w:rFonts w:ascii="標楷體" w:eastAsia="標楷體" w:hAnsi="標楷體" w:cs="標楷體"/>
        </w:rPr>
        <w:t>址：基隆市中正區北寧路</w:t>
      </w:r>
      <w:r>
        <w:rPr>
          <w:rFonts w:ascii="Gungsuh" w:eastAsia="Gungsuh" w:hAnsi="Gungsuh" w:cs="Gungsuh"/>
        </w:rPr>
        <w:t>２</w:t>
      </w:r>
      <w:r>
        <w:rPr>
          <w:rFonts w:ascii="標楷體" w:eastAsia="標楷體" w:hAnsi="標楷體" w:cs="標楷體"/>
        </w:rPr>
        <w:t>號</w:t>
      </w:r>
    </w:p>
    <w:p w14:paraId="00000045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FF0000"/>
        </w:rPr>
        <w:t>雇用單位主管：</w:t>
      </w:r>
      <w:r>
        <w:rPr>
          <w:rFonts w:ascii="標楷體" w:eastAsia="標楷體" w:hAnsi="標楷體" w:cs="標楷體"/>
          <w:color w:val="0070C0"/>
        </w:rPr>
        <w:tab/>
      </w:r>
      <w:r>
        <w:rPr>
          <w:rFonts w:ascii="標楷體" w:eastAsia="標楷體" w:hAnsi="標楷體" w:cs="標楷體"/>
        </w:rPr>
        <w:t xml:space="preserve">                               </w:t>
      </w:r>
      <w:r>
        <w:rPr>
          <w:rFonts w:ascii="標楷體" w:eastAsia="標楷體" w:hAnsi="標楷體" w:cs="標楷體"/>
        </w:rPr>
        <w:tab/>
        <w:t xml:space="preserve">          </w:t>
      </w:r>
      <w:r>
        <w:rPr>
          <w:rFonts w:ascii="標楷體" w:eastAsia="標楷體" w:hAnsi="標楷體" w:cs="標楷體"/>
        </w:rPr>
        <w:t>（簽名蓋章）</w:t>
      </w:r>
    </w:p>
    <w:p w14:paraId="00000046" w14:textId="77777777" w:rsidR="00A60142" w:rsidRDefault="00A60142">
      <w:pPr>
        <w:spacing w:after="120" w:line="288" w:lineRule="auto"/>
        <w:jc w:val="both"/>
        <w:rPr>
          <w:rFonts w:ascii="標楷體" w:eastAsia="標楷體" w:hAnsi="標楷體" w:cs="標楷體"/>
        </w:rPr>
      </w:pPr>
      <w:bookmarkStart w:id="1" w:name="_gjdgxs" w:colFirst="0" w:colLast="0"/>
      <w:bookmarkEnd w:id="1"/>
    </w:p>
    <w:p w14:paraId="00000047" w14:textId="77777777" w:rsidR="00A60142" w:rsidRDefault="00A60142">
      <w:pPr>
        <w:spacing w:after="120" w:line="288" w:lineRule="auto"/>
        <w:ind w:left="480"/>
        <w:jc w:val="both"/>
        <w:rPr>
          <w:rFonts w:ascii="標楷體" w:eastAsia="標楷體" w:hAnsi="標楷體" w:cs="標楷體"/>
        </w:rPr>
      </w:pPr>
    </w:p>
    <w:p w14:paraId="00000048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color w:val="0070C0"/>
        </w:rPr>
        <w:t>乙</w:t>
      </w:r>
      <w:r>
        <w:rPr>
          <w:rFonts w:ascii="標楷體" w:eastAsia="標楷體" w:hAnsi="標楷體" w:cs="標楷體"/>
          <w:color w:val="0070C0"/>
        </w:rPr>
        <w:t xml:space="preserve">       </w:t>
      </w:r>
      <w:r>
        <w:rPr>
          <w:rFonts w:ascii="標楷體" w:eastAsia="標楷體" w:hAnsi="標楷體" w:cs="標楷體"/>
          <w:color w:val="0070C0"/>
        </w:rPr>
        <w:t>方：</w:t>
      </w:r>
      <w:r>
        <w:rPr>
          <w:rFonts w:ascii="標楷體" w:eastAsia="標楷體" w:hAnsi="標楷體" w:cs="標楷體"/>
          <w:color w:val="0070C0"/>
        </w:rPr>
        <w:t xml:space="preserve">                                   </w:t>
      </w:r>
      <w:r>
        <w:rPr>
          <w:rFonts w:ascii="標楷體" w:eastAsia="標楷體" w:hAnsi="標楷體" w:cs="標楷體"/>
          <w:color w:val="0070C0"/>
        </w:rPr>
        <w:tab/>
        <w:t>(</w:t>
      </w:r>
      <w:r>
        <w:rPr>
          <w:rFonts w:ascii="標楷體" w:eastAsia="標楷體" w:hAnsi="標楷體" w:cs="標楷體"/>
          <w:color w:val="0070C0"/>
        </w:rPr>
        <w:t>簽名或蓋章</w:t>
      </w:r>
      <w:r>
        <w:rPr>
          <w:rFonts w:ascii="標楷體" w:eastAsia="標楷體" w:hAnsi="標楷體" w:cs="標楷體"/>
          <w:color w:val="0070C0"/>
        </w:rPr>
        <w:t>)</w:t>
      </w:r>
    </w:p>
    <w:p w14:paraId="00000049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color w:val="0070C0"/>
        </w:rPr>
        <w:t>身分證字號：</w:t>
      </w:r>
      <w:r>
        <w:rPr>
          <w:rFonts w:ascii="標楷體" w:eastAsia="標楷體" w:hAnsi="標楷體" w:cs="標楷體"/>
          <w:color w:val="0070C0"/>
        </w:rPr>
        <w:t xml:space="preserve"> </w:t>
      </w:r>
    </w:p>
    <w:p w14:paraId="0000004A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color w:val="0070C0"/>
        </w:rPr>
        <w:t>法定代理人：</w:t>
      </w:r>
      <w:r>
        <w:rPr>
          <w:rFonts w:ascii="標楷體" w:eastAsia="標楷體" w:hAnsi="標楷體" w:cs="標楷體"/>
          <w:color w:val="0070C0"/>
        </w:rPr>
        <w:t xml:space="preserve"> </w:t>
      </w:r>
    </w:p>
    <w:p w14:paraId="0000004B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sz w:val="18"/>
          <w:szCs w:val="18"/>
        </w:rPr>
        <w:t>(</w:t>
      </w:r>
      <w:r>
        <w:rPr>
          <w:rFonts w:ascii="標楷體" w:eastAsia="標楷體" w:hAnsi="標楷體" w:cs="標楷體"/>
          <w:sz w:val="18"/>
          <w:szCs w:val="18"/>
        </w:rPr>
        <w:t>乙方如未成年，與甲方簽訂勞動契約時，應經法定代理人同意並簽名或蓋章，超過者免</w:t>
      </w:r>
      <w:r>
        <w:rPr>
          <w:rFonts w:ascii="標楷體" w:eastAsia="標楷體" w:hAnsi="標楷體" w:cs="標楷體"/>
          <w:sz w:val="18"/>
          <w:szCs w:val="18"/>
        </w:rPr>
        <w:t>)</w:t>
      </w:r>
    </w:p>
    <w:p w14:paraId="0000004C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color w:val="0070C0"/>
        </w:rPr>
        <w:t>電</w:t>
      </w:r>
      <w:r>
        <w:rPr>
          <w:rFonts w:ascii="標楷體" w:eastAsia="標楷體" w:hAnsi="標楷體" w:cs="標楷體"/>
          <w:color w:val="0070C0"/>
        </w:rPr>
        <w:t xml:space="preserve">      </w:t>
      </w:r>
      <w:r>
        <w:rPr>
          <w:rFonts w:ascii="標楷體" w:eastAsia="標楷體" w:hAnsi="標楷體" w:cs="標楷體"/>
          <w:color w:val="0070C0"/>
        </w:rPr>
        <w:t>話</w: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</w:rPr>
        <w:t>：</w:t>
      </w:r>
    </w:p>
    <w:p w14:paraId="0000004D" w14:textId="77777777" w:rsidR="00A60142" w:rsidRDefault="00E20ADA">
      <w:pPr>
        <w:spacing w:after="120" w:line="288" w:lineRule="auto"/>
        <w:ind w:left="480"/>
        <w:jc w:val="both"/>
        <w:rPr>
          <w:rFonts w:ascii="標楷體" w:eastAsia="標楷體" w:hAnsi="標楷體" w:cs="標楷體"/>
          <w:color w:val="0070C0"/>
        </w:rPr>
      </w:pPr>
      <w:r>
        <w:rPr>
          <w:rFonts w:ascii="標楷體" w:eastAsia="標楷體" w:hAnsi="標楷體" w:cs="標楷體"/>
          <w:color w:val="0070C0"/>
        </w:rPr>
        <w:t>地</w:t>
      </w:r>
      <w:r>
        <w:rPr>
          <w:rFonts w:ascii="標楷體" w:eastAsia="標楷體" w:hAnsi="標楷體" w:cs="標楷體"/>
          <w:color w:val="0070C0"/>
        </w:rPr>
        <w:t xml:space="preserve">      </w:t>
      </w:r>
      <w:r>
        <w:rPr>
          <w:rFonts w:ascii="標楷體" w:eastAsia="標楷體" w:hAnsi="標楷體" w:cs="標楷體"/>
          <w:color w:val="0070C0"/>
        </w:rPr>
        <w:t>址</w:t>
      </w:r>
      <w:r>
        <w:rPr>
          <w:rFonts w:ascii="標楷體" w:eastAsia="標楷體" w:hAnsi="標楷體" w:cs="標楷體"/>
          <w:color w:val="0070C0"/>
        </w:rPr>
        <w:t xml:space="preserve"> </w:t>
      </w:r>
      <w:r>
        <w:rPr>
          <w:rFonts w:ascii="標楷體" w:eastAsia="標楷體" w:hAnsi="標楷體" w:cs="標楷體"/>
          <w:color w:val="0070C0"/>
        </w:rPr>
        <w:t>：</w:t>
      </w:r>
    </w:p>
    <w:p w14:paraId="0000004E" w14:textId="77777777" w:rsidR="00A60142" w:rsidRDefault="00E20ADA">
      <w:pPr>
        <w:spacing w:after="120" w:line="288" w:lineRule="auto"/>
        <w:jc w:val="center"/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</w:pP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中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 xml:space="preserve"> 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華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 xml:space="preserve"> 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民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 xml:space="preserve"> 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國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 xml:space="preserve">     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年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 xml:space="preserve">     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月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 xml:space="preserve">     </w:t>
      </w:r>
      <w:r>
        <w:rPr>
          <w:rFonts w:ascii="標楷體" w:eastAsia="標楷體" w:hAnsi="標楷體" w:cs="標楷體"/>
          <w:color w:val="0070C0"/>
          <w:sz w:val="42"/>
          <w:szCs w:val="42"/>
          <w:shd w:val="clear" w:color="auto" w:fill="D9D9D9"/>
        </w:rPr>
        <w:t>日</w:t>
      </w:r>
    </w:p>
    <w:p w14:paraId="0000004F" w14:textId="77777777" w:rsidR="00A60142" w:rsidRDefault="00A60142">
      <w:pPr>
        <w:jc w:val="both"/>
        <w:rPr>
          <w:rFonts w:ascii="標楷體" w:eastAsia="標楷體" w:hAnsi="標楷體" w:cs="標楷體"/>
          <w:sz w:val="22"/>
          <w:szCs w:val="22"/>
        </w:rPr>
      </w:pPr>
    </w:p>
    <w:p w14:paraId="00000050" w14:textId="77777777" w:rsidR="00A60142" w:rsidRDefault="00E20ADA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備註：</w:t>
      </w:r>
    </w:p>
    <w:p w14:paraId="00000051" w14:textId="77777777" w:rsidR="00A60142" w:rsidRDefault="00E20ADA">
      <w:pPr>
        <w:ind w:left="360" w:hanging="360"/>
        <w:jc w:val="both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一、依勞動基準法第</w:t>
      </w:r>
      <w:r>
        <w:rPr>
          <w:rFonts w:ascii="標楷體" w:eastAsia="標楷體" w:hAnsi="標楷體" w:cs="標楷體"/>
          <w:sz w:val="18"/>
          <w:szCs w:val="18"/>
        </w:rPr>
        <w:t xml:space="preserve"> 9 </w:t>
      </w:r>
      <w:r>
        <w:rPr>
          <w:rFonts w:ascii="標楷體" w:eastAsia="標楷體" w:hAnsi="標楷體" w:cs="標楷體"/>
          <w:sz w:val="18"/>
          <w:szCs w:val="18"/>
        </w:rPr>
        <w:t>條及該法施行細則規定，臨時性、短期性、季節性及特定性工作得為定期勞動契約，有繼續性工作應為不定期勞動契約。若甲乙雙方依據特定計畫或相關規範約定有一定期間之契約時，應於契約中載明依據、工作目的及可於一定時間完成之工作內容。如特定性定期勞動契約工作期間超過</w:t>
      </w:r>
      <w:r>
        <w:rPr>
          <w:rFonts w:ascii="標楷體" w:eastAsia="標楷體" w:hAnsi="標楷體" w:cs="標楷體"/>
          <w:sz w:val="18"/>
          <w:szCs w:val="18"/>
        </w:rPr>
        <w:t>1</w:t>
      </w:r>
      <w:r>
        <w:rPr>
          <w:rFonts w:ascii="標楷體" w:eastAsia="標楷體" w:hAnsi="標楷體" w:cs="標楷體"/>
          <w:sz w:val="18"/>
          <w:szCs w:val="18"/>
        </w:rPr>
        <w:t>年</w:t>
      </w:r>
      <w:r>
        <w:rPr>
          <w:rFonts w:ascii="標楷體" w:eastAsia="標楷體" w:hAnsi="標楷體" w:cs="標楷體"/>
          <w:sz w:val="18"/>
          <w:szCs w:val="18"/>
        </w:rPr>
        <w:t>(</w:t>
      </w:r>
      <w:r>
        <w:rPr>
          <w:rFonts w:ascii="標楷體" w:eastAsia="標楷體" w:hAnsi="標楷體" w:cs="標楷體"/>
          <w:sz w:val="18"/>
          <w:szCs w:val="18"/>
        </w:rPr>
        <w:t>包括期間經延長後超過</w:t>
      </w:r>
      <w:r>
        <w:rPr>
          <w:rFonts w:ascii="標楷體" w:eastAsia="標楷體" w:hAnsi="標楷體" w:cs="標楷體"/>
          <w:sz w:val="18"/>
          <w:szCs w:val="18"/>
        </w:rPr>
        <w:t>1</w:t>
      </w:r>
      <w:r>
        <w:rPr>
          <w:rFonts w:ascii="標楷體" w:eastAsia="標楷體" w:hAnsi="標楷體" w:cs="標楷體"/>
          <w:sz w:val="18"/>
          <w:szCs w:val="18"/>
        </w:rPr>
        <w:t>年</w:t>
      </w:r>
      <w:r>
        <w:rPr>
          <w:rFonts w:ascii="標楷體" w:eastAsia="標楷體" w:hAnsi="標楷體" w:cs="標楷體"/>
          <w:sz w:val="18"/>
          <w:szCs w:val="18"/>
        </w:rPr>
        <w:t xml:space="preserve">) </w:t>
      </w:r>
      <w:r>
        <w:rPr>
          <w:rFonts w:ascii="標楷體" w:eastAsia="標楷體" w:hAnsi="標楷體" w:cs="標楷體"/>
          <w:sz w:val="18"/>
          <w:szCs w:val="18"/>
        </w:rPr>
        <w:t>者，應將勞動契約送請地方勞工行政主管機關核備。</w:t>
      </w:r>
    </w:p>
    <w:p w14:paraId="00000052" w14:textId="77777777" w:rsidR="00A60142" w:rsidRDefault="00E20ADA">
      <w:pPr>
        <w:ind w:left="360" w:hanging="360"/>
        <w:jc w:val="both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二、第四條第</w:t>
      </w:r>
      <w:r>
        <w:rPr>
          <w:rFonts w:ascii="標楷體" w:eastAsia="標楷體" w:hAnsi="標楷體" w:cs="標楷體"/>
          <w:sz w:val="18"/>
          <w:szCs w:val="18"/>
        </w:rPr>
        <w:t>(</w:t>
      </w:r>
      <w:r>
        <w:rPr>
          <w:rFonts w:ascii="標楷體" w:eastAsia="標楷體" w:hAnsi="標楷體" w:cs="標楷體"/>
          <w:sz w:val="18"/>
          <w:szCs w:val="18"/>
        </w:rPr>
        <w:t>二</w:t>
      </w:r>
      <w:r>
        <w:rPr>
          <w:rFonts w:ascii="標楷體" w:eastAsia="標楷體" w:hAnsi="標楷體" w:cs="標楷體"/>
          <w:sz w:val="18"/>
          <w:szCs w:val="18"/>
        </w:rPr>
        <w:t>)</w:t>
      </w:r>
      <w:r>
        <w:rPr>
          <w:rFonts w:ascii="標楷體" w:eastAsia="標楷體" w:hAnsi="標楷體" w:cs="標楷體"/>
          <w:sz w:val="18"/>
          <w:szCs w:val="18"/>
        </w:rPr>
        <w:t>項每月工資發放日之議定，甲方應考量乙方生活所需，建議不宜超過次月</w:t>
      </w:r>
      <w:r>
        <w:rPr>
          <w:rFonts w:ascii="標楷體" w:eastAsia="標楷體" w:hAnsi="標楷體" w:cs="標楷體"/>
          <w:sz w:val="18"/>
          <w:szCs w:val="18"/>
        </w:rPr>
        <w:t xml:space="preserve"> 15 </w:t>
      </w:r>
      <w:r>
        <w:rPr>
          <w:rFonts w:ascii="標楷體" w:eastAsia="標楷體" w:hAnsi="標楷體" w:cs="標楷體"/>
          <w:sz w:val="18"/>
          <w:szCs w:val="18"/>
        </w:rPr>
        <w:t>日。</w:t>
      </w:r>
    </w:p>
    <w:p w14:paraId="00000053" w14:textId="77777777" w:rsidR="00A60142" w:rsidRDefault="00E20ADA">
      <w:pPr>
        <w:ind w:left="360" w:hanging="360"/>
        <w:jc w:val="both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三、甲乙雙方如發生勞資爭議時，得透過勞資爭議處理法規定調解</w:t>
      </w:r>
      <w:r>
        <w:rPr>
          <w:rFonts w:ascii="標楷體" w:eastAsia="標楷體" w:hAnsi="標楷體" w:cs="標楷體"/>
          <w:sz w:val="18"/>
          <w:szCs w:val="18"/>
        </w:rPr>
        <w:t>或仲裁程序儘速解決紛爭。</w:t>
      </w:r>
    </w:p>
    <w:p w14:paraId="00000054" w14:textId="77777777" w:rsidR="00A60142" w:rsidRDefault="00E20ADA">
      <w:pPr>
        <w:ind w:left="360" w:hanging="360"/>
        <w:jc w:val="both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四、第四條約定工資數額與第五條約定工作時間，換算後月薪制應不得低於按工作時間比例計算之基本工資或時薪。</w:t>
      </w:r>
    </w:p>
    <w:sectPr w:rsidR="00A60142">
      <w:pgSz w:w="11906" w:h="16838"/>
      <w:pgMar w:top="850" w:right="1080" w:bottom="966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ungsuh">
    <w:altName w:val="MV Bol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42"/>
    <w:rsid w:val="00A60142"/>
    <w:rsid w:val="00E2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0EE8C"/>
  <w15:docId w15:val="{260F4D78-266D-4D7E-A7B0-3D82039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NTOU_HHH</cp:lastModifiedBy>
  <cp:revision>2</cp:revision>
  <dcterms:created xsi:type="dcterms:W3CDTF">2022-09-13T08:38:00Z</dcterms:created>
  <dcterms:modified xsi:type="dcterms:W3CDTF">2022-09-13T08:43:00Z</dcterms:modified>
</cp:coreProperties>
</file>